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2F9" w:rsidRDefault="00E332F9" w:rsidP="00E332F9">
      <w:pPr>
        <w:jc w:val="center"/>
        <w:rPr>
          <w:rFonts w:ascii="Traditional Arabic" w:hAnsi="Traditional Arabic" w:cs="Traditional Arabic"/>
          <w:b/>
          <w:bCs/>
          <w:sz w:val="36"/>
          <w:szCs w:val="36"/>
          <w:rtl/>
          <w:lang w:bidi="ar-DZ"/>
        </w:rPr>
      </w:pPr>
      <w:r w:rsidRPr="003D6BDE">
        <w:rPr>
          <w:rFonts w:ascii="Traditional Arabic" w:hAnsi="Traditional Arabic" w:cs="Traditional Arabic"/>
          <w:b/>
          <w:bCs/>
          <w:sz w:val="36"/>
          <w:szCs w:val="36"/>
          <w:rtl/>
          <w:lang w:bidi="ar-DZ"/>
        </w:rPr>
        <w:t>جامعة أم البواقي  كلية الحقوق والعلوم السيا</w:t>
      </w:r>
      <w:r>
        <w:rPr>
          <w:rFonts w:ascii="Traditional Arabic" w:hAnsi="Traditional Arabic" w:cs="Traditional Arabic"/>
          <w:b/>
          <w:bCs/>
          <w:sz w:val="36"/>
          <w:szCs w:val="36"/>
          <w:rtl/>
          <w:lang w:bidi="ar-DZ"/>
        </w:rPr>
        <w:t xml:space="preserve">سية   قسم الحقوق </w:t>
      </w:r>
    </w:p>
    <w:p w:rsidR="00E332F9" w:rsidRPr="009E48D9" w:rsidRDefault="00E332F9" w:rsidP="00E332F9">
      <w:pPr>
        <w:tabs>
          <w:tab w:val="center" w:pos="5233"/>
          <w:tab w:val="left" w:pos="6916"/>
        </w:tabs>
        <w:jc w:val="left"/>
        <w:rPr>
          <w:rFonts w:ascii="Traditional Arabic" w:hAnsi="Traditional Arabic" w:cs="Traditional Arabic"/>
          <w:b/>
          <w:bCs/>
          <w:sz w:val="36"/>
          <w:szCs w:val="36"/>
          <w:lang w:val="fr-FR" w:bidi="ar-DZ"/>
        </w:rPr>
      </w:pPr>
      <w:r>
        <w:rPr>
          <w:rFonts w:ascii="Traditional Arabic" w:hAnsi="Traditional Arabic" w:cs="Traditional Arabic"/>
          <w:b/>
          <w:bCs/>
          <w:sz w:val="36"/>
          <w:szCs w:val="36"/>
          <w:rtl/>
          <w:lang w:bidi="ar-DZ"/>
        </w:rPr>
        <w:tab/>
      </w:r>
      <w:r>
        <w:rPr>
          <w:rFonts w:ascii="Traditional Arabic" w:hAnsi="Traditional Arabic" w:cs="Traditional Arabic" w:hint="cs"/>
          <w:b/>
          <w:bCs/>
          <w:sz w:val="36"/>
          <w:szCs w:val="36"/>
          <w:rtl/>
          <w:lang w:bidi="ar-DZ"/>
        </w:rPr>
        <w:t>الإجابة النمودجية لامتحان النظرية العامة للقانون</w:t>
      </w:r>
    </w:p>
    <w:p w:rsidR="00E332F9" w:rsidRPr="003D6BDE" w:rsidRDefault="00E332F9" w:rsidP="00E332F9">
      <w:pP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السؤال الأول: 7 ن</w:t>
      </w:r>
    </w:p>
    <w:p w:rsidR="00E332F9" w:rsidRPr="003D6BDE" w:rsidRDefault="00E332F9" w:rsidP="00E332F9">
      <w:pPr>
        <w:rPr>
          <w:rFonts w:ascii="Traditional Arabic" w:hAnsi="Traditional Arabic" w:cs="Traditional Arabic"/>
          <w:sz w:val="32"/>
          <w:szCs w:val="32"/>
          <w:rtl/>
          <w:lang w:val="fr-FR" w:bidi="ar-DZ"/>
        </w:rPr>
      </w:pPr>
      <w:r w:rsidRPr="003D6BDE">
        <w:rPr>
          <w:rFonts w:ascii="Traditional Arabic" w:hAnsi="Traditional Arabic" w:cs="Traditional Arabic"/>
          <w:sz w:val="32"/>
          <w:szCs w:val="32"/>
          <w:rtl/>
          <w:lang w:bidi="ar-DZ"/>
        </w:rPr>
        <w:t xml:space="preserve">تنص المادة </w:t>
      </w:r>
      <w:r>
        <w:rPr>
          <w:rFonts w:ascii="Traditional Arabic" w:hAnsi="Traditional Arabic" w:cs="Traditional Arabic" w:hint="cs"/>
          <w:sz w:val="32"/>
          <w:szCs w:val="32"/>
          <w:rtl/>
          <w:lang w:bidi="ar-DZ"/>
        </w:rPr>
        <w:t>07 من قانون إ ج . م. إ. د على أنه:" الجلسات علنية، ما لم تمس العلنية بالنظام العام أو الأداب العامة أو حرمة الأسرة".</w:t>
      </w:r>
    </w:p>
    <w:p w:rsidR="00E332F9" w:rsidRPr="005670A8" w:rsidRDefault="00E332F9" w:rsidP="00E332F9">
      <w:pPr>
        <w:rPr>
          <w:rFonts w:ascii="Traditional Arabic" w:hAnsi="Traditional Arabic" w:cs="Traditional Arabic"/>
          <w:b/>
          <w:bCs/>
          <w:sz w:val="32"/>
          <w:szCs w:val="32"/>
          <w:rtl/>
          <w:lang w:val="fr-FR" w:bidi="ar-DZ"/>
        </w:rPr>
      </w:pPr>
      <w:r w:rsidRPr="005670A8">
        <w:rPr>
          <w:rFonts w:ascii="Traditional Arabic" w:hAnsi="Traditional Arabic" w:cs="Traditional Arabic"/>
          <w:b/>
          <w:bCs/>
          <w:sz w:val="32"/>
          <w:szCs w:val="32"/>
          <w:rtl/>
          <w:lang w:val="fr-FR" w:bidi="ar-DZ"/>
        </w:rPr>
        <w:t>المطلوب:</w:t>
      </w:r>
    </w:p>
    <w:p w:rsidR="00E332F9" w:rsidRPr="003D6BDE" w:rsidRDefault="00E332F9" w:rsidP="00E332F9">
      <w:pPr>
        <w:pStyle w:val="Paragraphedeliste"/>
        <w:numPr>
          <w:ilvl w:val="0"/>
          <w:numId w:val="1"/>
        </w:numPr>
        <w:rPr>
          <w:rFonts w:ascii="Traditional Arabic" w:hAnsi="Traditional Arabic" w:cs="Traditional Arabic"/>
          <w:sz w:val="32"/>
          <w:szCs w:val="32"/>
          <w:rtl/>
          <w:lang w:val="fr-FR" w:bidi="ar-DZ"/>
        </w:rPr>
      </w:pPr>
      <w:r w:rsidRPr="003D6BDE">
        <w:rPr>
          <w:rFonts w:ascii="Traditional Arabic" w:hAnsi="Traditional Arabic" w:cs="Traditional Arabic"/>
          <w:sz w:val="32"/>
          <w:szCs w:val="32"/>
          <w:rtl/>
          <w:lang w:val="fr-FR" w:bidi="ar-DZ"/>
        </w:rPr>
        <w:t>هل هذا النص قاعدة آمرة أم مكملة، ولماذا؟</w:t>
      </w:r>
      <w:r>
        <w:rPr>
          <w:rFonts w:ascii="Traditional Arabic" w:hAnsi="Traditional Arabic" w:cs="Traditional Arabic" w:hint="cs"/>
          <w:sz w:val="32"/>
          <w:szCs w:val="32"/>
          <w:rtl/>
          <w:lang w:val="fr-FR" w:bidi="ar-DZ"/>
        </w:rPr>
        <w:t xml:space="preserve"> 1 ن</w:t>
      </w:r>
    </w:p>
    <w:p w:rsidR="00E332F9" w:rsidRPr="003D6BDE" w:rsidRDefault="00E332F9" w:rsidP="00E332F9">
      <w:pPr>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النص قاعدة أمرة، ( 0.5 ) . لأنه يمس بأحكام النظام العام لسير الجلسات داخل المحكمة. ( 0.5)</w:t>
      </w:r>
    </w:p>
    <w:p w:rsidR="00E332F9" w:rsidRPr="003D6BDE" w:rsidRDefault="00E332F9" w:rsidP="00E332F9">
      <w:pPr>
        <w:pStyle w:val="Paragraphedeliste"/>
        <w:numPr>
          <w:ilvl w:val="0"/>
          <w:numId w:val="1"/>
        </w:numPr>
        <w:rPr>
          <w:rFonts w:ascii="Traditional Arabic" w:hAnsi="Traditional Arabic" w:cs="Traditional Arabic"/>
          <w:sz w:val="32"/>
          <w:szCs w:val="32"/>
          <w:lang w:val="fr-FR" w:bidi="ar-DZ"/>
        </w:rPr>
      </w:pPr>
      <w:r w:rsidRPr="003D6BDE">
        <w:rPr>
          <w:rFonts w:ascii="Traditional Arabic" w:hAnsi="Traditional Arabic" w:cs="Traditional Arabic"/>
          <w:sz w:val="32"/>
          <w:szCs w:val="32"/>
          <w:rtl/>
          <w:lang w:val="fr-FR" w:bidi="ar-DZ"/>
        </w:rPr>
        <w:t>هل هذا النص قاعدة شكلية أم موضوعية ولماذا؟.</w:t>
      </w:r>
    </w:p>
    <w:p w:rsidR="00E332F9" w:rsidRPr="003D6BDE" w:rsidRDefault="00E332F9" w:rsidP="00E332F9">
      <w:pPr>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شكلية، وليست موضوعية. ( 0.5) . لأنها تتكلم على كيفية سير إجراءات التقاضي أمام المحكمة ( 0.5) </w:t>
      </w:r>
    </w:p>
    <w:p w:rsidR="00E332F9" w:rsidRPr="003D6BDE" w:rsidRDefault="00E332F9" w:rsidP="00E332F9">
      <w:pPr>
        <w:pStyle w:val="Paragraphedeliste"/>
        <w:numPr>
          <w:ilvl w:val="0"/>
          <w:numId w:val="1"/>
        </w:numPr>
        <w:rPr>
          <w:rFonts w:ascii="Traditional Arabic" w:hAnsi="Traditional Arabic" w:cs="Traditional Arabic"/>
          <w:sz w:val="32"/>
          <w:szCs w:val="32"/>
          <w:lang w:val="fr-FR" w:bidi="ar-DZ"/>
        </w:rPr>
      </w:pPr>
      <w:r w:rsidRPr="003D6BDE">
        <w:rPr>
          <w:rFonts w:ascii="Traditional Arabic" w:hAnsi="Traditional Arabic" w:cs="Traditional Arabic"/>
          <w:sz w:val="32"/>
          <w:szCs w:val="32"/>
          <w:rtl/>
          <w:lang w:val="fr-FR" w:bidi="ar-DZ"/>
        </w:rPr>
        <w:t>هل هذا النص من القانون العام أم من القانون الخاص، ولماذا؟</w:t>
      </w:r>
    </w:p>
    <w:p w:rsidR="00E332F9" w:rsidRDefault="00E332F9" w:rsidP="00E332F9">
      <w:pPr>
        <w:rPr>
          <w:rFonts w:ascii="Traditional Arabic" w:hAnsi="Traditional Arabic" w:cs="Traditional Arabic" w:hint="cs"/>
          <w:sz w:val="32"/>
          <w:szCs w:val="32"/>
          <w:rtl/>
          <w:lang w:val="fr-FR" w:bidi="ar-DZ"/>
        </w:rPr>
      </w:pPr>
      <w:r>
        <w:rPr>
          <w:rFonts w:ascii="Traditional Arabic" w:hAnsi="Traditional Arabic" w:cs="Traditional Arabic" w:hint="cs"/>
          <w:sz w:val="32"/>
          <w:szCs w:val="32"/>
          <w:rtl/>
          <w:lang w:val="fr-FR" w:bidi="ar-DZ"/>
        </w:rPr>
        <w:t>النص من القانون المختلط (1 ). لأنه قواعده عبارة عن مزيج بين أحكام القانون العام والخاص ( 1 ).</w:t>
      </w:r>
    </w:p>
    <w:p w:rsidR="00E332F9" w:rsidRDefault="00E332F9" w:rsidP="00E332F9">
      <w:pPr>
        <w:pStyle w:val="Paragraphedeliste"/>
        <w:numPr>
          <w:ilvl w:val="0"/>
          <w:numId w:val="1"/>
        </w:numPr>
        <w:rPr>
          <w:rFonts w:ascii="Traditional Arabic" w:hAnsi="Traditional Arabic" w:cs="Traditional Arabic" w:hint="cs"/>
          <w:sz w:val="32"/>
          <w:szCs w:val="32"/>
          <w:lang w:val="fr-FR" w:bidi="ar-DZ"/>
        </w:rPr>
      </w:pPr>
      <w:r>
        <w:rPr>
          <w:rFonts w:ascii="Traditional Arabic" w:hAnsi="Traditional Arabic" w:cs="Traditional Arabic" w:hint="cs"/>
          <w:sz w:val="32"/>
          <w:szCs w:val="32"/>
          <w:rtl/>
          <w:lang w:val="fr-FR" w:bidi="ar-DZ"/>
        </w:rPr>
        <w:t>ما المقصود بالنظام العام والاذاب العامة؟ وكيف تكون معياراً للتمييز بين القانونيين 3 ن</w:t>
      </w:r>
    </w:p>
    <w:p w:rsidR="00E332F9" w:rsidRDefault="00E332F9" w:rsidP="00E332F9">
      <w:pPr>
        <w:rPr>
          <w:rFonts w:ascii="Traditional Arabic" w:hAnsi="Traditional Arabic" w:cs="Traditional Arabic" w:hint="cs"/>
          <w:sz w:val="32"/>
          <w:szCs w:val="32"/>
          <w:rtl/>
          <w:lang w:val="fr-FR" w:bidi="ar-DZ"/>
        </w:rPr>
      </w:pPr>
      <w:r>
        <w:rPr>
          <w:rFonts w:ascii="Traditional Arabic" w:hAnsi="Traditional Arabic" w:cs="Traditional Arabic" w:hint="cs"/>
          <w:sz w:val="32"/>
          <w:szCs w:val="32"/>
          <w:rtl/>
          <w:lang w:val="fr-FR" w:bidi="ar-DZ"/>
        </w:rPr>
        <w:t>النظام العام: وهو مجموعة المبادئ والاسس التي تقوم عليها احكام القانون بصفة عامة ولا يجوز المس سبها او التنازل عنها ( 1 )</w:t>
      </w:r>
    </w:p>
    <w:p w:rsidR="00E332F9" w:rsidRDefault="00E332F9" w:rsidP="00E332F9">
      <w:pPr>
        <w:rPr>
          <w:rFonts w:ascii="Traditional Arabic" w:hAnsi="Traditional Arabic" w:cs="Traditional Arabic" w:hint="cs"/>
          <w:sz w:val="32"/>
          <w:szCs w:val="32"/>
          <w:rtl/>
          <w:lang w:val="fr-FR" w:bidi="ar-DZ"/>
        </w:rPr>
      </w:pPr>
      <w:r>
        <w:rPr>
          <w:rFonts w:ascii="Traditional Arabic" w:hAnsi="Traditional Arabic" w:cs="Traditional Arabic" w:hint="cs"/>
          <w:sz w:val="32"/>
          <w:szCs w:val="32"/>
          <w:rtl/>
          <w:lang w:val="fr-FR" w:bidi="ar-DZ"/>
        </w:rPr>
        <w:t>الآداب العامة: وهي مجموعة من القيم الاخلاقية والاداب التي يقوم عليها المجتمع. ( 1 ).</w:t>
      </w:r>
    </w:p>
    <w:p w:rsidR="00E332F9" w:rsidRPr="00E332F9" w:rsidRDefault="00E332F9" w:rsidP="00E332F9">
      <w:pPr>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كل قاعدة يراد بها حماية النظام العام والاداب العامة فهي قاعدة آمرة، وقد لا يؤدي المعنى اللغوي او اللفظي </w:t>
      </w:r>
      <w:r w:rsidR="00331ED0">
        <w:rPr>
          <w:rFonts w:ascii="Traditional Arabic" w:hAnsi="Traditional Arabic" w:cs="Traditional Arabic" w:hint="cs"/>
          <w:sz w:val="32"/>
          <w:szCs w:val="32"/>
          <w:rtl/>
          <w:lang w:val="fr-FR" w:bidi="ar-DZ"/>
        </w:rPr>
        <w:t>الغرض من التمييز بينها فننظر هل القاعدة غايتها حماية النظام العام و الاذاب العامة أم لا فإن كانت كذلك في آمرة. ( 01 )</w:t>
      </w:r>
    </w:p>
    <w:p w:rsidR="00331ED0" w:rsidRDefault="00331ED0" w:rsidP="00331ED0">
      <w:pPr>
        <w:rPr>
          <w:rFonts w:ascii="Traditional Arabic" w:hAnsi="Traditional Arabic" w:cs="Traditional Arabic" w:hint="cs"/>
          <w:sz w:val="32"/>
          <w:szCs w:val="32"/>
          <w:rtl/>
          <w:lang w:bidi="ar-DZ"/>
        </w:rPr>
      </w:pPr>
      <w:r>
        <w:rPr>
          <w:rFonts w:ascii="Traditional Arabic" w:hAnsi="Traditional Arabic" w:cs="Traditional Arabic"/>
          <w:b/>
          <w:bCs/>
          <w:sz w:val="32"/>
          <w:szCs w:val="32"/>
          <w:rtl/>
          <w:lang w:bidi="ar-DZ"/>
        </w:rPr>
        <w:t>السؤال الثا</w:t>
      </w:r>
      <w:r>
        <w:rPr>
          <w:rFonts w:ascii="Traditional Arabic" w:hAnsi="Traditional Arabic" w:cs="Traditional Arabic" w:hint="cs"/>
          <w:b/>
          <w:bCs/>
          <w:sz w:val="32"/>
          <w:szCs w:val="32"/>
          <w:rtl/>
          <w:lang w:bidi="ar-DZ"/>
        </w:rPr>
        <w:t>ني</w:t>
      </w:r>
      <w:r w:rsidR="00E332F9" w:rsidRPr="005670A8">
        <w:rPr>
          <w:rFonts w:ascii="Traditional Arabic" w:hAnsi="Traditional Arabic" w:cs="Traditional Arabic"/>
          <w:b/>
          <w:bCs/>
          <w:sz w:val="32"/>
          <w:szCs w:val="32"/>
          <w:rtl/>
          <w:lang w:bidi="ar-DZ"/>
        </w:rPr>
        <w:t xml:space="preserve">: </w:t>
      </w:r>
      <w:r>
        <w:rPr>
          <w:rFonts w:ascii="Traditional Arabic" w:hAnsi="Traditional Arabic" w:cs="Traditional Arabic" w:hint="cs"/>
          <w:sz w:val="32"/>
          <w:szCs w:val="32"/>
          <w:rtl/>
          <w:lang w:bidi="ar-DZ"/>
        </w:rPr>
        <w:t>ما هي الحالات التي يجوز فيها للسلطة التنفيذية بوضع التشريع</w:t>
      </w:r>
      <w:r w:rsidR="00E332F9" w:rsidRPr="003D6BDE">
        <w:rPr>
          <w:rFonts w:ascii="Traditional Arabic" w:hAnsi="Traditional Arabic" w:cs="Traditional Arabic"/>
          <w:sz w:val="32"/>
          <w:szCs w:val="32"/>
          <w:rtl/>
          <w:lang w:bidi="ar-DZ"/>
        </w:rPr>
        <w:t>؟.</w:t>
      </w:r>
      <w:r w:rsidR="00E332F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6</w:t>
      </w:r>
      <w:r w:rsidR="00E332F9">
        <w:rPr>
          <w:rFonts w:ascii="Traditional Arabic" w:hAnsi="Traditional Arabic" w:cs="Traditional Arabic" w:hint="cs"/>
          <w:sz w:val="32"/>
          <w:szCs w:val="32"/>
          <w:rtl/>
          <w:lang w:bidi="ar-DZ"/>
        </w:rPr>
        <w:t xml:space="preserve"> ن</w:t>
      </w:r>
    </w:p>
    <w:p w:rsidR="00331ED0" w:rsidRDefault="005C0A6A" w:rsidP="00331ED0">
      <w:pPr>
        <w:pStyle w:val="Paragraphedeliste"/>
        <w:numPr>
          <w:ilvl w:val="0"/>
          <w:numId w:val="2"/>
        </w:numPr>
        <w:rPr>
          <w:rFonts w:ascii="Traditional Arabic" w:hAnsi="Traditional Arabic" w:cs="Traditional Arabic" w:hint="cs"/>
          <w:sz w:val="32"/>
          <w:szCs w:val="32"/>
          <w:lang w:bidi="ar-DZ"/>
        </w:rPr>
      </w:pPr>
      <w:r>
        <w:rPr>
          <w:rFonts w:ascii="Traditional Arabic" w:hAnsi="Traditional Arabic" w:cs="Traditional Arabic" w:hint="cs"/>
          <w:noProof/>
          <w:sz w:val="32"/>
          <w:szCs w:val="32"/>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5" type="#_x0000_t176" style="position:absolute;left:0;text-align:left;margin-left:30.65pt;margin-top:11.15pt;width:329.9pt;height:83.85pt;z-index:251658240">
            <v:textbox>
              <w:txbxContent>
                <w:p w:rsidR="005C0A6A" w:rsidRPr="003D6BDE" w:rsidRDefault="005C0A6A" w:rsidP="005C0A6A">
                  <w:pPr>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ويشترط في هذه الحالة  غياب السلطة التشريعية + أن تكون هناك ضرورة ( أومور عاجلة توجب الاسراع في اتخاذ التدابير ) + ضرورة عرض هذه القرارات على مجلس التشريعي+ عدم مخالفة تشريع الضرورة للدستور</w:t>
                  </w:r>
                </w:p>
                <w:p w:rsidR="005C0A6A" w:rsidRDefault="005C0A6A">
                  <w:pPr>
                    <w:rPr>
                      <w:lang w:bidi="ar-DZ"/>
                    </w:rPr>
                  </w:pPr>
                </w:p>
              </w:txbxContent>
            </v:textbox>
            <w10:wrap anchorx="page"/>
          </v:shape>
        </w:pict>
      </w:r>
      <w:r w:rsidR="00331ED0">
        <w:rPr>
          <w:rFonts w:ascii="Traditional Arabic" w:hAnsi="Traditional Arabic" w:cs="Traditional Arabic" w:hint="cs"/>
          <w:sz w:val="32"/>
          <w:szCs w:val="32"/>
          <w:rtl/>
          <w:lang w:bidi="ar-DZ"/>
        </w:rPr>
        <w:t>عند غياب السلطة التشريعية</w:t>
      </w:r>
    </w:p>
    <w:p w:rsidR="00331ED0" w:rsidRDefault="00331ED0" w:rsidP="00331ED0">
      <w:pPr>
        <w:pStyle w:val="Paragraphedeliste"/>
        <w:numPr>
          <w:ilvl w:val="0"/>
          <w:numId w:val="2"/>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 xml:space="preserve">الحالات الضرورة </w:t>
      </w:r>
    </w:p>
    <w:p w:rsidR="00331ED0" w:rsidRDefault="00331ED0" w:rsidP="00331ED0">
      <w:pPr>
        <w:pStyle w:val="Paragraphedeliste"/>
        <w:numPr>
          <w:ilvl w:val="0"/>
          <w:numId w:val="2"/>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الحالات الاستثنائية</w:t>
      </w:r>
    </w:p>
    <w:p w:rsidR="00331ED0" w:rsidRDefault="00331ED0" w:rsidP="00331ED0">
      <w:pPr>
        <w:pStyle w:val="Paragraphedeliste"/>
        <w:numPr>
          <w:ilvl w:val="0"/>
          <w:numId w:val="2"/>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حالة الاستعجال</w:t>
      </w:r>
    </w:p>
    <w:p w:rsidR="005C0A6A" w:rsidRDefault="00331ED0" w:rsidP="005C0A6A">
      <w:pPr>
        <w:pStyle w:val="Paragraphedeliste"/>
        <w:numPr>
          <w:ilvl w:val="0"/>
          <w:numId w:val="2"/>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 xml:space="preserve">حالة </w:t>
      </w:r>
      <w:r w:rsidR="005C0A6A">
        <w:rPr>
          <w:rFonts w:ascii="Traditional Arabic" w:hAnsi="Traditional Arabic" w:cs="Traditional Arabic" w:hint="cs"/>
          <w:sz w:val="32"/>
          <w:szCs w:val="32"/>
          <w:rtl/>
          <w:lang w:bidi="ar-DZ"/>
        </w:rPr>
        <w:t>التشريعات الفرعية أو التنظيمات</w:t>
      </w:r>
    </w:p>
    <w:p w:rsidR="005C0A6A" w:rsidRDefault="005C0A6A" w:rsidP="005C0A6A">
      <w:pPr>
        <w:pStyle w:val="Paragraphedeliste"/>
        <w:numPr>
          <w:ilvl w:val="0"/>
          <w:numId w:val="3"/>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اللوائح التنظيمية</w:t>
      </w:r>
    </w:p>
    <w:p w:rsidR="005C0A6A" w:rsidRDefault="005C0A6A" w:rsidP="005C0A6A">
      <w:pPr>
        <w:pStyle w:val="Paragraphedeliste"/>
        <w:numPr>
          <w:ilvl w:val="0"/>
          <w:numId w:val="3"/>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اللوائح التنفيذية</w:t>
      </w:r>
    </w:p>
    <w:p w:rsidR="005C0A6A" w:rsidRDefault="005C0A6A" w:rsidP="005C0A6A">
      <w:pPr>
        <w:pStyle w:val="Paragraphedeliste"/>
        <w:numPr>
          <w:ilvl w:val="0"/>
          <w:numId w:val="3"/>
        </w:numPr>
        <w:rPr>
          <w:rFonts w:ascii="Traditional Arabic" w:hAnsi="Traditional Arabic" w:cs="Traditional Arabic" w:hint="cs"/>
          <w:sz w:val="32"/>
          <w:szCs w:val="32"/>
          <w:lang w:bidi="ar-DZ"/>
        </w:rPr>
      </w:pPr>
      <w:r>
        <w:rPr>
          <w:rFonts w:ascii="Traditional Arabic" w:hAnsi="Traditional Arabic" w:cs="Traditional Arabic" w:hint="cs"/>
          <w:sz w:val="32"/>
          <w:szCs w:val="32"/>
          <w:rtl/>
          <w:lang w:bidi="ar-DZ"/>
        </w:rPr>
        <w:t>لوائح الضبط والبوليس</w:t>
      </w:r>
    </w:p>
    <w:p w:rsidR="005C0A6A" w:rsidRPr="00AE6FD0" w:rsidRDefault="005C0A6A" w:rsidP="00AE6FD0">
      <w:pPr>
        <w:rPr>
          <w:rFonts w:ascii="Times New Roman" w:hAnsi="Times New Roman" w:cs="Times New Roman" w:hint="cs"/>
          <w:sz w:val="32"/>
          <w:szCs w:val="32"/>
          <w:rtl/>
        </w:rPr>
      </w:pPr>
      <w:r w:rsidRPr="00AE6FD0">
        <w:rPr>
          <w:rFonts w:ascii="Traditional Arabic" w:hAnsi="Traditional Arabic" w:cs="Traditional Arabic" w:hint="cs"/>
          <w:b/>
          <w:bCs/>
          <w:sz w:val="32"/>
          <w:szCs w:val="32"/>
          <w:rtl/>
          <w:lang w:bidi="ar-DZ"/>
        </w:rPr>
        <w:t>السؤال الثالث:</w:t>
      </w:r>
      <w:r w:rsidR="00331ED0" w:rsidRPr="00AE6FD0">
        <w:rPr>
          <w:rFonts w:ascii="Traditional Arabic" w:hAnsi="Traditional Arabic" w:cs="Traditional Arabic" w:hint="cs"/>
          <w:b/>
          <w:bCs/>
          <w:sz w:val="32"/>
          <w:szCs w:val="32"/>
          <w:rtl/>
          <w:lang w:bidi="ar-DZ"/>
        </w:rPr>
        <w:t xml:space="preserve"> </w:t>
      </w:r>
      <w:r w:rsidRPr="00AE6FD0">
        <w:rPr>
          <w:rFonts w:ascii="Traditional Arabic" w:hAnsi="Traditional Arabic" w:cs="Traditional Arabic" w:hint="cs"/>
          <w:b/>
          <w:bCs/>
          <w:sz w:val="32"/>
          <w:szCs w:val="32"/>
          <w:rtl/>
          <w:lang w:bidi="ar-DZ"/>
        </w:rPr>
        <w:t xml:space="preserve">هل </w:t>
      </w:r>
      <w:r w:rsidRPr="00AE6FD0">
        <w:rPr>
          <w:rFonts w:ascii="Traditional Arabic" w:hAnsi="Traditional Arabic" w:cs="Traditional Arabic"/>
          <w:b/>
          <w:bCs/>
          <w:sz w:val="32"/>
          <w:szCs w:val="32"/>
          <w:rtl/>
          <w:lang w:bidi="ar-DZ"/>
        </w:rPr>
        <w:t>يسري مبدأ عدم جواز العذر بجهل القانون لكافة فروع القانون، وكيف ذلك؟</w:t>
      </w:r>
      <w:r w:rsidR="006022D2">
        <w:rPr>
          <w:rFonts w:ascii="Times New Roman" w:hAnsi="Times New Roman" w:cs="Times New Roman" w:hint="cs"/>
          <w:sz w:val="32"/>
          <w:szCs w:val="32"/>
          <w:rtl/>
        </w:rPr>
        <w:t xml:space="preserve"> ( 07 )</w:t>
      </w:r>
    </w:p>
    <w:p w:rsidR="00AE6FD0" w:rsidRPr="00AE6FD0" w:rsidRDefault="00AE6FD0" w:rsidP="00AE6FD0">
      <w:pPr>
        <w:ind w:right="720"/>
        <w:rPr>
          <w:rFonts w:ascii="Traditional Arabic" w:hAnsi="Traditional Arabic" w:cs="Traditional Arabic" w:hint="cs"/>
          <w:color w:val="000000"/>
          <w:sz w:val="32"/>
          <w:szCs w:val="32"/>
        </w:rPr>
      </w:pPr>
      <w:r w:rsidRPr="00AE6FD0">
        <w:rPr>
          <w:rFonts w:ascii="Traditional Arabic" w:hAnsi="Traditional Arabic" w:cs="Traditional Arabic"/>
          <w:sz w:val="32"/>
          <w:szCs w:val="32"/>
          <w:rtl/>
        </w:rPr>
        <w:t>نعم يسري هذا المبدأ على كافة فروع القانون، والمقصود به أن تطبيق القانون يسري على كافة المخاطبين بهم سواء علموا به او لم يعلمو به، لأن من المفروض أن الجميع علموا بالقانون بعد نشره في الجريدة الرسمية بعد مرور يوم كامل على نشره تطبيقا لنص المادة 4 من القانون المدني</w:t>
      </w:r>
      <w:r w:rsidRPr="00AE6FD0">
        <w:rPr>
          <w:rFonts w:ascii="Traditional Arabic" w:hAnsi="Traditional Arabic" w:cs="Traditional Arabic" w:hint="cs"/>
          <w:color w:val="000000"/>
          <w:sz w:val="32"/>
          <w:szCs w:val="32"/>
          <w:rtl/>
        </w:rPr>
        <w:t>.</w:t>
      </w:r>
    </w:p>
    <w:p w:rsidR="00AE6FD0" w:rsidRPr="00AE6FD0" w:rsidRDefault="00AE6FD0" w:rsidP="00AE6FD0">
      <w:pPr>
        <w:spacing w:before="100" w:beforeAutospacing="1" w:after="100" w:afterAutospacing="1" w:line="273" w:lineRule="auto"/>
        <w:ind w:right="720"/>
        <w:rPr>
          <w:rFonts w:ascii="Traditional Arabic" w:hAnsi="Traditional Arabic" w:cs="Traditional Arabic" w:hint="cs"/>
          <w:sz w:val="32"/>
          <w:szCs w:val="32"/>
          <w:rtl/>
        </w:rPr>
      </w:pPr>
      <w:r w:rsidRPr="00AE6FD0">
        <w:rPr>
          <w:rFonts w:ascii="Traditional Arabic" w:hAnsi="Traditional Arabic" w:cs="Traditional Arabic" w:hint="cs"/>
          <w:sz w:val="32"/>
          <w:szCs w:val="32"/>
          <w:rtl/>
        </w:rPr>
        <w:lastRenderedPageBreak/>
        <w:t xml:space="preserve">إن </w:t>
      </w:r>
      <w:r w:rsidRPr="00AE6FD0">
        <w:rPr>
          <w:rFonts w:ascii="Traditional Arabic" w:hAnsi="Traditional Arabic" w:cs="Traditional Arabic"/>
          <w:sz w:val="32"/>
          <w:szCs w:val="32"/>
          <w:rtl/>
        </w:rPr>
        <w:t xml:space="preserve">مبدأ عدم جواز جهل القانون </w:t>
      </w:r>
      <w:r w:rsidRPr="00AE6FD0">
        <w:rPr>
          <w:rFonts w:ascii="Traditional Arabic" w:hAnsi="Traditional Arabic" w:cs="Traditional Arabic" w:hint="cs"/>
          <w:sz w:val="32"/>
          <w:szCs w:val="32"/>
          <w:rtl/>
        </w:rPr>
        <w:t>الذي</w:t>
      </w:r>
      <w:r w:rsidRPr="00AE6FD0">
        <w:rPr>
          <w:rFonts w:ascii="Traditional Arabic" w:hAnsi="Traditional Arabic" w:cs="Traditional Arabic"/>
          <w:sz w:val="32"/>
          <w:szCs w:val="32"/>
          <w:rtl/>
        </w:rPr>
        <w:t xml:space="preserve"> يسري أثر</w:t>
      </w:r>
      <w:r w:rsidRPr="00AE6FD0">
        <w:rPr>
          <w:rFonts w:ascii="Traditional Arabic" w:hAnsi="Traditional Arabic" w:cs="Traditional Arabic" w:hint="cs"/>
          <w:sz w:val="32"/>
          <w:szCs w:val="32"/>
          <w:rtl/>
        </w:rPr>
        <w:t>ه</w:t>
      </w:r>
      <w:r w:rsidRPr="00AE6FD0">
        <w:rPr>
          <w:rFonts w:ascii="Traditional Arabic" w:hAnsi="Traditional Arabic" w:cs="Traditional Arabic"/>
          <w:sz w:val="32"/>
          <w:szCs w:val="32"/>
          <w:rtl/>
        </w:rPr>
        <w:t xml:space="preserve"> على جميع القواعد القانونية مهما كان مصدرها، بحيث </w:t>
      </w:r>
      <w:r w:rsidRPr="00AE6FD0">
        <w:rPr>
          <w:rFonts w:ascii="Traditional Arabic" w:hAnsi="Traditional Arabic" w:cs="Traditional Arabic" w:hint="cs"/>
          <w:sz w:val="32"/>
          <w:szCs w:val="32"/>
          <w:rtl/>
        </w:rPr>
        <w:t>لا</w:t>
      </w:r>
      <w:r w:rsidRPr="00AE6FD0">
        <w:rPr>
          <w:rFonts w:ascii="Traditional Arabic" w:hAnsi="Traditional Arabic" w:cs="Traditional Arabic"/>
          <w:sz w:val="32"/>
          <w:szCs w:val="32"/>
          <w:rtl/>
        </w:rPr>
        <w:t xml:space="preserve"> يجوز </w:t>
      </w:r>
      <w:r w:rsidRPr="00AE6FD0">
        <w:rPr>
          <w:rFonts w:ascii="Traditional Arabic" w:hAnsi="Traditional Arabic" w:cs="Traditional Arabic" w:hint="cs"/>
          <w:sz w:val="32"/>
          <w:szCs w:val="32"/>
          <w:rtl/>
        </w:rPr>
        <w:t>ال</w:t>
      </w:r>
      <w:r w:rsidRPr="00AE6FD0">
        <w:rPr>
          <w:rFonts w:ascii="Traditional Arabic" w:hAnsi="Traditional Arabic" w:cs="Traditional Arabic"/>
          <w:sz w:val="32"/>
          <w:szCs w:val="32"/>
          <w:rtl/>
        </w:rPr>
        <w:t>عذر بجهلها سواء كان النص تشريعيا، أو عرفيا</w:t>
      </w:r>
      <w:r w:rsidRPr="00AE6FD0">
        <w:rPr>
          <w:rFonts w:ascii="Traditional Arabic" w:hAnsi="Traditional Arabic" w:cs="Traditional Arabic" w:hint="cs"/>
          <w:sz w:val="32"/>
          <w:szCs w:val="32"/>
          <w:rtl/>
        </w:rPr>
        <w:t>.</w:t>
      </w:r>
    </w:p>
    <w:p w:rsidR="00AE6FD0" w:rsidRPr="00AE6FD0" w:rsidRDefault="00AE6FD0" w:rsidP="00AE6FD0">
      <w:pPr>
        <w:ind w:right="720"/>
        <w:jc w:val="right"/>
        <w:rPr>
          <w:rFonts w:ascii="Sakkal Majalla" w:hAnsi="Sakkal Majalla" w:cs="Sakkal Majalla"/>
          <w:b/>
          <w:bCs/>
          <w:color w:val="000000"/>
          <w:sz w:val="24"/>
          <w:szCs w:val="24"/>
          <w:rtl/>
        </w:rPr>
      </w:pPr>
      <w:r w:rsidRPr="00AE6FD0">
        <w:rPr>
          <w:rFonts w:ascii="Sakkal Majalla" w:hAnsi="Sakkal Majalla" w:cs="Sakkal Majalla"/>
          <w:b/>
          <w:bCs/>
          <w:color w:val="000000"/>
          <w:sz w:val="24"/>
          <w:szCs w:val="24"/>
          <w:rtl/>
        </w:rPr>
        <w:t xml:space="preserve">بالتوفيق </w:t>
      </w:r>
    </w:p>
    <w:p w:rsidR="00AE6FD0" w:rsidRPr="00AE6FD0" w:rsidRDefault="00AE6FD0" w:rsidP="00AE6FD0">
      <w:pPr>
        <w:ind w:right="720"/>
        <w:jc w:val="right"/>
        <w:rPr>
          <w:rFonts w:ascii="Sakkal Majalla" w:hAnsi="Sakkal Majalla" w:cs="Sakkal Majalla"/>
          <w:b/>
          <w:bCs/>
          <w:color w:val="000000"/>
          <w:sz w:val="24"/>
          <w:szCs w:val="24"/>
          <w:rtl/>
        </w:rPr>
      </w:pPr>
      <w:r w:rsidRPr="00AE6FD0">
        <w:rPr>
          <w:rFonts w:ascii="Sakkal Majalla" w:hAnsi="Sakkal Majalla" w:cs="Sakkal Majalla"/>
          <w:b/>
          <w:bCs/>
          <w:color w:val="000000"/>
          <w:sz w:val="24"/>
          <w:szCs w:val="24"/>
          <w:rtl/>
        </w:rPr>
        <w:t>أ.د. وهاب حمزة</w:t>
      </w:r>
    </w:p>
    <w:sectPr w:rsidR="00AE6FD0" w:rsidRPr="00AE6FD0" w:rsidSect="003D6BDE">
      <w:footerReference w:type="default" r:id="rId6"/>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39615"/>
      <w:docPartObj>
        <w:docPartGallery w:val="Page Numbers (Bottom of Page)"/>
        <w:docPartUnique/>
      </w:docPartObj>
    </w:sdtPr>
    <w:sdtEndPr/>
    <w:sdtContent>
      <w:p w:rsidR="005670A8" w:rsidRDefault="00B425D8">
        <w:pPr>
          <w:pStyle w:val="Pieddepage"/>
        </w:pPr>
        <w:r w:rsidRPr="009674F5">
          <w:rPr>
            <w:noProof/>
            <w:lang w:val="fr-FR" w:eastAsia="zh-TW"/>
          </w:rPr>
          <w:pict>
            <v:group id="_x0000_s1025" style="position:absolute;left:0;text-align:left;margin-left:0;margin-top:0;width:611.15pt;height:15pt;z-index:251658240;mso-width-percent:1000;mso-position-horizontal:center;mso-position-horizontal-relative:page;mso-position-vertical:center;mso-position-vertical-relative:bottom-margin-area;mso-width-percent:1000" coordorigin="-8,14978" coordsize="12255,300">
              <v:shapetype id="_x0000_t202" coordsize="21600,21600" o:spt="202" path="m,l,21600r21600,l21600,xe">
                <v:stroke joinstyle="miter"/>
                <v:path gradientshapeok="t" o:connecttype="rect"/>
              </v:shapetype>
              <v:shape id="_x0000_s1026" type="#_x0000_t202" style="position:absolute;left:782;top:14990;width:659;height:288" filled="f" stroked="f">
                <v:textbox style="mso-next-textbox:#_x0000_s1026" inset="0,0,0,0">
                  <w:txbxContent>
                    <w:p w:rsidR="005670A8" w:rsidRDefault="00B425D8">
                      <w:pPr>
                        <w:jc w:val="center"/>
                        <w:rPr>
                          <w:lang w:val="fr-FR"/>
                        </w:rPr>
                      </w:pPr>
                      <w:r>
                        <w:rPr>
                          <w:lang w:val="fr-FR"/>
                        </w:rPr>
                        <w:fldChar w:fldCharType="begin"/>
                      </w:r>
                      <w:r>
                        <w:rPr>
                          <w:lang w:val="fr-FR"/>
                        </w:rPr>
                        <w:instrText xml:space="preserve"> PAGE    \* MERGEFORMAT </w:instrText>
                      </w:r>
                      <w:r>
                        <w:rPr>
                          <w:lang w:val="fr-FR"/>
                        </w:rPr>
                        <w:fldChar w:fldCharType="separate"/>
                      </w:r>
                      <w:r w:rsidRPr="00B425D8">
                        <w:rPr>
                          <w:noProof/>
                          <w:color w:val="8C8C8C" w:themeColor="background1" w:themeShade="8C"/>
                          <w:rtl/>
                        </w:rPr>
                        <w:t>1</w:t>
                      </w:r>
                      <w:r>
                        <w:rPr>
                          <w:lang w:val="fr-FR"/>
                        </w:rPr>
                        <w:fldChar w:fldCharType="end"/>
                      </w:r>
                    </w:p>
                  </w:txbxContent>
                </v:textbox>
              </v:shape>
              <v:group id="_x0000_s1027" style="position:absolute;left:-8;top:14978;width:12255;height:230"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8" type="#_x0000_t34" style="position:absolute;left:-8;top:14978;width:1260;height:230;flip:y" o:connectortype="elbow" adj=",1024457,257" strokecolor="#a5a5a5 [2092]"/>
                <v:shape id="_x0000_s1029" type="#_x0000_t34" style="position:absolute;left:1252;top:14978;width:10995;height:230;rotation:180" o:connectortype="elbow" adj="20904,-1024457,-24046" strokecolor="#a5a5a5 [2092]"/>
              </v:group>
              <w10:wrap anchorx="page" anchory="page"/>
            </v:group>
          </w:pict>
        </w:r>
      </w:p>
    </w:sdtContent>
  </w:sdt>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03477"/>
    <w:multiLevelType w:val="hybridMultilevel"/>
    <w:tmpl w:val="F58808BA"/>
    <w:lvl w:ilvl="0" w:tplc="E1308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415ABD"/>
    <w:multiLevelType w:val="hybridMultilevel"/>
    <w:tmpl w:val="D48E0188"/>
    <w:lvl w:ilvl="0" w:tplc="C874883C">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62042B"/>
    <w:multiLevelType w:val="multilevel"/>
    <w:tmpl w:val="0F60307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24A51EE"/>
    <w:multiLevelType w:val="hybridMultilevel"/>
    <w:tmpl w:val="41BE8930"/>
    <w:lvl w:ilvl="0" w:tplc="EE8E7E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savePreviewPicture/>
  <w:hdrShapeDefaults>
    <o:shapedefaults v:ext="edit" spidmax="3074"/>
    <o:shapelayout v:ext="edit">
      <o:idmap v:ext="edit" data="1"/>
      <o:rules v:ext="edit">
        <o:r id="V:Rule1" type="connector" idref="#_x0000_s1029"/>
        <o:r id="V:Rule2" type="connector" idref="#_x0000_s1028"/>
      </o:rules>
    </o:shapelayout>
  </w:hdrShapeDefaults>
  <w:compat/>
  <w:rsids>
    <w:rsidRoot w:val="00E332F9"/>
    <w:rsid w:val="00331ED0"/>
    <w:rsid w:val="005C0A6A"/>
    <w:rsid w:val="006022D2"/>
    <w:rsid w:val="00675D0C"/>
    <w:rsid w:val="007023D3"/>
    <w:rsid w:val="00A030C2"/>
    <w:rsid w:val="00AE4E58"/>
    <w:rsid w:val="00AE6FD0"/>
    <w:rsid w:val="00B425D8"/>
    <w:rsid w:val="00E332F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2F9"/>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E332F9"/>
    <w:pPr>
      <w:ind w:left="720"/>
      <w:contextualSpacing/>
    </w:pPr>
  </w:style>
  <w:style w:type="paragraph" w:styleId="Pieddepage">
    <w:name w:val="footer"/>
    <w:basedOn w:val="Normal"/>
    <w:link w:val="PieddepageCar"/>
    <w:uiPriority w:val="99"/>
    <w:semiHidden/>
    <w:unhideWhenUsed/>
    <w:rsid w:val="00E332F9"/>
    <w:pPr>
      <w:tabs>
        <w:tab w:val="center" w:pos="4536"/>
        <w:tab w:val="right" w:pos="9072"/>
      </w:tabs>
    </w:pPr>
  </w:style>
  <w:style w:type="character" w:customStyle="1" w:styleId="PieddepageCar">
    <w:name w:val="Pied de page Car"/>
    <w:basedOn w:val="Policepardfaut"/>
    <w:link w:val="Pieddepage"/>
    <w:uiPriority w:val="99"/>
    <w:semiHidden/>
    <w:rsid w:val="00E332F9"/>
  </w:style>
  <w:style w:type="paragraph" w:styleId="Textedebulles">
    <w:name w:val="Balloon Text"/>
    <w:basedOn w:val="Normal"/>
    <w:link w:val="TextedebullesCar"/>
    <w:uiPriority w:val="99"/>
    <w:semiHidden/>
    <w:unhideWhenUsed/>
    <w:rsid w:val="005C0A6A"/>
    <w:rPr>
      <w:rFonts w:ascii="Tahoma" w:hAnsi="Tahoma" w:cs="Tahoma"/>
      <w:sz w:val="16"/>
      <w:szCs w:val="16"/>
    </w:rPr>
  </w:style>
  <w:style w:type="character" w:customStyle="1" w:styleId="TextedebullesCar">
    <w:name w:val="Texte de bulles Car"/>
    <w:basedOn w:val="Policepardfaut"/>
    <w:link w:val="Textedebulles"/>
    <w:uiPriority w:val="99"/>
    <w:semiHidden/>
    <w:rsid w:val="005C0A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DA6A8-57DE-41FA-989A-DFB49454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296</Words>
  <Characters>1690</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leptop</dc:creator>
  <cp:lastModifiedBy>leptop</cp:lastModifiedBy>
  <cp:revision>2</cp:revision>
  <dcterms:created xsi:type="dcterms:W3CDTF">2024-01-25T20:47:00Z</dcterms:created>
  <dcterms:modified xsi:type="dcterms:W3CDTF">2024-01-25T21:36:00Z</dcterms:modified>
</cp:coreProperties>
</file>